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E4F5" w14:textId="77777777" w:rsidR="00B57E33" w:rsidRDefault="008F1473">
      <w:pPr>
        <w:ind w:right="-13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b/>
          <w:bCs/>
          <w:sz w:val="36"/>
          <w:szCs w:val="36"/>
          <w:u w:val="single"/>
        </w:rPr>
        <w:t>Literatura a právní předpisy</w:t>
      </w:r>
    </w:p>
    <w:p w14:paraId="514F6F68" w14:textId="77777777" w:rsidR="00B57E33" w:rsidRDefault="00B57E33">
      <w:pPr>
        <w:spacing w:line="200" w:lineRule="exact"/>
        <w:rPr>
          <w:sz w:val="24"/>
          <w:szCs w:val="24"/>
        </w:rPr>
      </w:pPr>
    </w:p>
    <w:p w14:paraId="6F71D1E7" w14:textId="77777777" w:rsidR="00B57E33" w:rsidRDefault="00B57E33">
      <w:pPr>
        <w:spacing w:line="200" w:lineRule="exact"/>
        <w:rPr>
          <w:sz w:val="24"/>
          <w:szCs w:val="24"/>
        </w:rPr>
      </w:pPr>
    </w:p>
    <w:p w14:paraId="7C8E850C" w14:textId="77777777" w:rsidR="00B57E33" w:rsidRDefault="00B57E33">
      <w:pPr>
        <w:spacing w:line="365" w:lineRule="exact"/>
        <w:rPr>
          <w:sz w:val="24"/>
          <w:szCs w:val="24"/>
        </w:rPr>
      </w:pPr>
    </w:p>
    <w:p w14:paraId="02932090" w14:textId="77777777" w:rsidR="00B57E33" w:rsidRDefault="008F147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Základní literatura:</w:t>
      </w:r>
    </w:p>
    <w:p w14:paraId="6154E9E2" w14:textId="77777777" w:rsidR="00B57E33" w:rsidRDefault="00B57E33">
      <w:pPr>
        <w:spacing w:line="287" w:lineRule="exact"/>
        <w:rPr>
          <w:sz w:val="24"/>
          <w:szCs w:val="24"/>
        </w:rPr>
      </w:pPr>
    </w:p>
    <w:p w14:paraId="119D7E70" w14:textId="77777777" w:rsidR="00B57E33" w:rsidRDefault="008F147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Šámal, P. a kol. Trestní právo hmotné. 9. vydání. Praha: </w:t>
      </w:r>
      <w:proofErr w:type="spellStart"/>
      <w:r>
        <w:rPr>
          <w:rFonts w:ascii="Arial" w:eastAsia="Arial" w:hAnsi="Arial" w:cs="Arial"/>
          <w:sz w:val="18"/>
          <w:szCs w:val="18"/>
        </w:rPr>
        <w:t>Wolters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Kluwer</w:t>
      </w:r>
      <w:proofErr w:type="spellEnd"/>
      <w:r>
        <w:rPr>
          <w:rFonts w:ascii="Arial" w:eastAsia="Arial" w:hAnsi="Arial" w:cs="Arial"/>
          <w:sz w:val="18"/>
          <w:szCs w:val="18"/>
        </w:rPr>
        <w:t>, 202</w:t>
      </w:r>
      <w:r w:rsidR="0050785C"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14:paraId="6208586A" w14:textId="77777777" w:rsidR="00B57E33" w:rsidRDefault="00B57E33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7534D084" w14:textId="77777777" w:rsidR="00B57E33" w:rsidRDefault="008F147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Jelínek, J. a kol. Trestní právo hmotné. Obecná část. Zvláštní část. </w:t>
      </w:r>
      <w:r w:rsidR="0050785C"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 xml:space="preserve">. vydání. Praha: </w:t>
      </w:r>
      <w:proofErr w:type="spellStart"/>
      <w:r>
        <w:rPr>
          <w:rFonts w:ascii="Arial" w:eastAsia="Arial" w:hAnsi="Arial" w:cs="Arial"/>
          <w:sz w:val="18"/>
          <w:szCs w:val="18"/>
        </w:rPr>
        <w:t>Leges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r w:rsidR="0050785C">
        <w:rPr>
          <w:rFonts w:ascii="Arial" w:eastAsia="Arial" w:hAnsi="Arial" w:cs="Arial"/>
          <w:sz w:val="18"/>
          <w:szCs w:val="18"/>
        </w:rPr>
        <w:t>2022</w:t>
      </w:r>
      <w:r>
        <w:rPr>
          <w:rFonts w:ascii="Arial" w:eastAsia="Arial" w:hAnsi="Arial" w:cs="Arial"/>
          <w:sz w:val="18"/>
          <w:szCs w:val="18"/>
        </w:rPr>
        <w:t>.</w:t>
      </w:r>
    </w:p>
    <w:p w14:paraId="06305B62" w14:textId="77777777" w:rsidR="00B57E33" w:rsidRDefault="008F147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Fenyk J., Císařová D., Gřivna, T. a kol. Trestní právo procesní. 7. vydání. Praha: Wolters Kluwer, 2019.</w:t>
      </w:r>
    </w:p>
    <w:p w14:paraId="082E62CC" w14:textId="77777777" w:rsidR="00B57E33" w:rsidRDefault="008F1473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Jelínek, J. a kol. Trestní právo procesní. </w:t>
      </w:r>
      <w:r w:rsidR="0050785C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vydání. Praha: </w:t>
      </w:r>
      <w:proofErr w:type="spellStart"/>
      <w:r>
        <w:rPr>
          <w:rFonts w:ascii="Arial" w:eastAsia="Arial" w:hAnsi="Arial" w:cs="Arial"/>
          <w:sz w:val="18"/>
          <w:szCs w:val="18"/>
        </w:rPr>
        <w:t>Leges</w:t>
      </w:r>
      <w:proofErr w:type="spellEnd"/>
      <w:r>
        <w:rPr>
          <w:rFonts w:ascii="Arial" w:eastAsia="Arial" w:hAnsi="Arial" w:cs="Arial"/>
          <w:sz w:val="18"/>
          <w:szCs w:val="18"/>
        </w:rPr>
        <w:t>, 20</w:t>
      </w:r>
      <w:r w:rsidR="0050785C">
        <w:rPr>
          <w:rFonts w:ascii="Arial" w:eastAsia="Arial" w:hAnsi="Arial" w:cs="Arial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.</w:t>
      </w:r>
    </w:p>
    <w:p w14:paraId="7690D551" w14:textId="77777777" w:rsidR="00B57E33" w:rsidRDefault="00B57E33">
      <w:pPr>
        <w:spacing w:line="8" w:lineRule="exact"/>
        <w:rPr>
          <w:rFonts w:ascii="Arial" w:eastAsia="Arial" w:hAnsi="Arial" w:cs="Arial"/>
          <w:sz w:val="18"/>
          <w:szCs w:val="18"/>
        </w:rPr>
      </w:pPr>
    </w:p>
    <w:p w14:paraId="1DE12CB4" w14:textId="77777777" w:rsidR="00B57E33" w:rsidRDefault="00B57E33">
      <w:pPr>
        <w:spacing w:line="325" w:lineRule="exact"/>
        <w:rPr>
          <w:sz w:val="24"/>
          <w:szCs w:val="24"/>
        </w:rPr>
      </w:pPr>
    </w:p>
    <w:p w14:paraId="627CBD9F" w14:textId="77777777" w:rsidR="00B57E33" w:rsidRDefault="008F147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Poznámka:</w:t>
      </w:r>
    </w:p>
    <w:p w14:paraId="66835A7F" w14:textId="77777777" w:rsidR="00B57E33" w:rsidRDefault="00B57E33">
      <w:pPr>
        <w:spacing w:line="72" w:lineRule="exact"/>
        <w:rPr>
          <w:sz w:val="24"/>
          <w:szCs w:val="24"/>
        </w:rPr>
      </w:pPr>
    </w:p>
    <w:p w14:paraId="58339CE4" w14:textId="77777777" w:rsidR="00B57E33" w:rsidRDefault="008F1473">
      <w:pPr>
        <w:spacing w:line="232" w:lineRule="auto"/>
        <w:ind w:left="40" w:right="26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Učebnice trestního práva hmotného uvedené pod body 1 a 2 lze použít alternativně. Učebnice trestního práva procesního uvedené pod body 3 a 4 lze použít alternativně.</w:t>
      </w:r>
    </w:p>
    <w:p w14:paraId="4F16C01A" w14:textId="77777777" w:rsidR="00B57E33" w:rsidRDefault="00B57E33">
      <w:pPr>
        <w:spacing w:line="200" w:lineRule="exact"/>
        <w:rPr>
          <w:sz w:val="24"/>
          <w:szCs w:val="24"/>
        </w:rPr>
      </w:pPr>
    </w:p>
    <w:p w14:paraId="36D48727" w14:textId="77777777" w:rsidR="00B57E33" w:rsidRDefault="00B57E33">
      <w:pPr>
        <w:spacing w:line="200" w:lineRule="exact"/>
        <w:rPr>
          <w:sz w:val="24"/>
          <w:szCs w:val="24"/>
        </w:rPr>
      </w:pPr>
    </w:p>
    <w:p w14:paraId="1251B79E" w14:textId="77777777" w:rsidR="00B57E33" w:rsidRDefault="00B57E33">
      <w:pPr>
        <w:spacing w:line="200" w:lineRule="exact"/>
        <w:rPr>
          <w:sz w:val="24"/>
          <w:szCs w:val="24"/>
        </w:rPr>
      </w:pPr>
    </w:p>
    <w:p w14:paraId="63FDD0B5" w14:textId="77777777" w:rsidR="00B57E33" w:rsidRDefault="00B57E33">
      <w:pPr>
        <w:spacing w:line="211" w:lineRule="exact"/>
        <w:rPr>
          <w:sz w:val="24"/>
          <w:szCs w:val="24"/>
        </w:rPr>
      </w:pPr>
    </w:p>
    <w:p w14:paraId="1B3CA552" w14:textId="77777777" w:rsidR="00B57E33" w:rsidRDefault="008F147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Ostatní literatura:</w:t>
      </w:r>
    </w:p>
    <w:p w14:paraId="009EEE0B" w14:textId="77777777" w:rsidR="00B57E33" w:rsidRDefault="00B57E33">
      <w:pPr>
        <w:spacing w:line="295" w:lineRule="exact"/>
        <w:rPr>
          <w:sz w:val="24"/>
          <w:szCs w:val="24"/>
        </w:rPr>
      </w:pPr>
    </w:p>
    <w:p w14:paraId="6C1ED8C3" w14:textId="77777777" w:rsidR="00B57E33" w:rsidRDefault="008F1473">
      <w:pPr>
        <w:numPr>
          <w:ilvl w:val="0"/>
          <w:numId w:val="2"/>
        </w:numPr>
        <w:tabs>
          <w:tab w:val="left" w:pos="720"/>
        </w:tabs>
        <w:spacing w:line="233" w:lineRule="auto"/>
        <w:ind w:left="720" w:right="18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Solnař, V. Systém československého trestního práva. Základy trestní odpovědnosti. Praha: Academia, 1972.</w:t>
      </w:r>
    </w:p>
    <w:p w14:paraId="766E9697" w14:textId="77777777" w:rsidR="00B57E33" w:rsidRDefault="00B57E33">
      <w:pPr>
        <w:spacing w:line="13" w:lineRule="exact"/>
        <w:rPr>
          <w:rFonts w:ascii="Arial" w:eastAsia="Arial" w:hAnsi="Arial" w:cs="Arial"/>
          <w:sz w:val="18"/>
          <w:szCs w:val="18"/>
        </w:rPr>
      </w:pPr>
    </w:p>
    <w:p w14:paraId="0B941DDD" w14:textId="77777777" w:rsidR="00B57E33" w:rsidRDefault="008F1473">
      <w:pPr>
        <w:numPr>
          <w:ilvl w:val="0"/>
          <w:numId w:val="2"/>
        </w:numPr>
        <w:tabs>
          <w:tab w:val="left" w:pos="720"/>
        </w:tabs>
        <w:spacing w:line="233" w:lineRule="auto"/>
        <w:ind w:left="720" w:right="18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Solnař, V., Fenyk, J., Císařová, D., Vanduchová, M. Systém českého trestního práva. Praha: Novatrix, 2009.</w:t>
      </w:r>
    </w:p>
    <w:p w14:paraId="4C4A5644" w14:textId="77777777" w:rsidR="00B57E33" w:rsidRDefault="00B57E33">
      <w:pPr>
        <w:spacing w:line="10" w:lineRule="exact"/>
        <w:rPr>
          <w:rFonts w:ascii="Arial" w:eastAsia="Arial" w:hAnsi="Arial" w:cs="Arial"/>
          <w:sz w:val="18"/>
          <w:szCs w:val="18"/>
        </w:rPr>
      </w:pPr>
    </w:p>
    <w:p w14:paraId="23407319" w14:textId="563CD17D" w:rsidR="000D29F9" w:rsidRDefault="000D29F9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Storch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F. Řízení trestní rakouské. Díl I.-III., </w:t>
      </w:r>
      <w:proofErr w:type="gramStart"/>
      <w:r>
        <w:rPr>
          <w:rFonts w:ascii="Arial" w:eastAsia="Arial" w:hAnsi="Arial" w:cs="Arial"/>
          <w:sz w:val="18"/>
          <w:szCs w:val="18"/>
        </w:rPr>
        <w:t>Praha :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Wolters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Kluwer</w:t>
      </w:r>
      <w:proofErr w:type="spellEnd"/>
      <w:r>
        <w:rPr>
          <w:rFonts w:ascii="Arial" w:eastAsia="Arial" w:hAnsi="Arial" w:cs="Arial"/>
          <w:sz w:val="18"/>
          <w:szCs w:val="18"/>
        </w:rPr>
        <w:t>, 2011 (1896).</w:t>
      </w:r>
    </w:p>
    <w:p w14:paraId="47BA62C2" w14:textId="77777777" w:rsidR="00B57E33" w:rsidRDefault="00B57E33">
      <w:pPr>
        <w:spacing w:line="200" w:lineRule="exact"/>
        <w:rPr>
          <w:sz w:val="24"/>
          <w:szCs w:val="24"/>
        </w:rPr>
      </w:pPr>
    </w:p>
    <w:p w14:paraId="546B8125" w14:textId="77777777" w:rsidR="00B57E33" w:rsidRDefault="00B57E33">
      <w:pPr>
        <w:spacing w:line="200" w:lineRule="exact"/>
        <w:rPr>
          <w:sz w:val="24"/>
          <w:szCs w:val="24"/>
        </w:rPr>
      </w:pPr>
    </w:p>
    <w:p w14:paraId="3B464C06" w14:textId="77777777" w:rsidR="00B57E33" w:rsidRDefault="00B57E33">
      <w:pPr>
        <w:spacing w:line="200" w:lineRule="exact"/>
        <w:rPr>
          <w:sz w:val="24"/>
          <w:szCs w:val="24"/>
        </w:rPr>
      </w:pPr>
    </w:p>
    <w:p w14:paraId="12DF4505" w14:textId="77777777" w:rsidR="00B57E33" w:rsidRDefault="00B57E33">
      <w:pPr>
        <w:spacing w:line="200" w:lineRule="exact"/>
        <w:rPr>
          <w:sz w:val="24"/>
          <w:szCs w:val="24"/>
        </w:rPr>
      </w:pPr>
    </w:p>
    <w:p w14:paraId="1A678532" w14:textId="77777777" w:rsidR="00B57E33" w:rsidRDefault="00B57E33">
      <w:pPr>
        <w:spacing w:line="274" w:lineRule="exact"/>
        <w:rPr>
          <w:sz w:val="24"/>
          <w:szCs w:val="24"/>
        </w:rPr>
      </w:pPr>
    </w:p>
    <w:p w14:paraId="106D815F" w14:textId="77777777" w:rsidR="00B57E33" w:rsidRDefault="008F1473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Základní právní předpisy:</w:t>
      </w:r>
    </w:p>
    <w:p w14:paraId="5408C173" w14:textId="77777777" w:rsidR="00B57E33" w:rsidRDefault="00B57E33">
      <w:pPr>
        <w:spacing w:line="328" w:lineRule="exact"/>
        <w:rPr>
          <w:sz w:val="24"/>
          <w:szCs w:val="24"/>
        </w:rPr>
      </w:pPr>
    </w:p>
    <w:p w14:paraId="6EF22B7F" w14:textId="77777777"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Ústava České republiky (ústavní zákon č. 1/1993 Sb., v platném znění).</w:t>
      </w:r>
    </w:p>
    <w:p w14:paraId="5B7B955B" w14:textId="77777777" w:rsidR="00B57E33" w:rsidRDefault="00B57E33">
      <w:pPr>
        <w:spacing w:line="11" w:lineRule="exact"/>
        <w:rPr>
          <w:rFonts w:ascii="Arial" w:eastAsia="Arial" w:hAnsi="Arial" w:cs="Arial"/>
          <w:sz w:val="18"/>
          <w:szCs w:val="18"/>
        </w:rPr>
      </w:pPr>
    </w:p>
    <w:p w14:paraId="2F1DA564" w14:textId="77777777" w:rsidR="00B57E33" w:rsidRDefault="008F1473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8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Listina základních práv a svobod, vyhlášená předsednictvem České národní rady dne 16. 12. 1992 jako součást ústavního pořádku České republiky (č. 2/1993 Sb.), v platném znění.</w:t>
      </w:r>
    </w:p>
    <w:p w14:paraId="1F5EC54C" w14:textId="77777777"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Úmluva o ochraně lidských práv a základních svobod, v platném znění.</w:t>
      </w:r>
    </w:p>
    <w:p w14:paraId="11C3B187" w14:textId="77777777"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40/2009 Sb., trestní zákoník, v platném znění.</w:t>
      </w:r>
    </w:p>
    <w:p w14:paraId="1B7E555F" w14:textId="77777777"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141/1961 Sb., o trestním řízení soudním (trestní řád), v platném znění.</w:t>
      </w:r>
    </w:p>
    <w:p w14:paraId="589DE25F" w14:textId="77777777" w:rsidR="00B57E33" w:rsidRDefault="00B57E33">
      <w:pPr>
        <w:spacing w:line="11" w:lineRule="exact"/>
        <w:rPr>
          <w:rFonts w:ascii="Arial" w:eastAsia="Arial" w:hAnsi="Arial" w:cs="Arial"/>
          <w:sz w:val="18"/>
          <w:szCs w:val="18"/>
        </w:rPr>
      </w:pPr>
    </w:p>
    <w:p w14:paraId="3C022D94" w14:textId="77777777" w:rsidR="00B57E33" w:rsidRDefault="008F1473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4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218/2003 Sb., o odpovědnosti mládeže za protiprávní činy a o soudnictví ve věcech mládeže a o změně některých zákonů (zákon o soudnictví ve věcech mládeže), v platném znění.</w:t>
      </w:r>
    </w:p>
    <w:p w14:paraId="3A9B6327" w14:textId="77777777"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418/2011 Sb., o trestní odpovědnosti právnických osob a řízení proti nim, v platném znění.</w:t>
      </w:r>
    </w:p>
    <w:p w14:paraId="7637A795" w14:textId="77777777" w:rsidR="00B57E33" w:rsidRDefault="00B57E33">
      <w:pPr>
        <w:spacing w:line="8" w:lineRule="exact"/>
        <w:rPr>
          <w:rFonts w:ascii="Arial" w:eastAsia="Arial" w:hAnsi="Arial" w:cs="Arial"/>
          <w:sz w:val="18"/>
          <w:szCs w:val="18"/>
        </w:rPr>
      </w:pPr>
    </w:p>
    <w:p w14:paraId="5024E5DB" w14:textId="77777777" w:rsidR="00B57E33" w:rsidRDefault="008F1473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45/2013 Sb., o obětech trestných činů a o změně některých zákonů (zákon o obětech trestných činů), v platném znění.</w:t>
      </w:r>
    </w:p>
    <w:p w14:paraId="3292DD99" w14:textId="77777777" w:rsidR="00B57E33" w:rsidRDefault="008F1473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104/2013 Sb., o mezinárodní justiční spolupráci ve věcech trestních, v platném znění.</w:t>
      </w:r>
    </w:p>
    <w:p w14:paraId="474C04A8" w14:textId="77777777" w:rsidR="00B57E33" w:rsidRDefault="00B57E33">
      <w:pPr>
        <w:spacing w:line="8" w:lineRule="exact"/>
        <w:rPr>
          <w:rFonts w:ascii="Arial" w:eastAsia="Arial" w:hAnsi="Arial" w:cs="Arial"/>
          <w:sz w:val="18"/>
          <w:szCs w:val="18"/>
        </w:rPr>
      </w:pPr>
    </w:p>
    <w:p w14:paraId="4A5B8536" w14:textId="77777777" w:rsidR="00B57E33" w:rsidRDefault="008F1473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46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Nařízení Rady (EU) 2017/1939 ze dne 12. října 2017, kterým se provádí posílená spolupráce za účelem zřízení Úřadu evropského veřejného žalobce.</w:t>
      </w:r>
    </w:p>
    <w:p w14:paraId="34123CD6" w14:textId="77777777" w:rsidR="00B57E33" w:rsidRDefault="00B57E33">
      <w:pPr>
        <w:spacing w:line="200" w:lineRule="exact"/>
        <w:rPr>
          <w:sz w:val="24"/>
          <w:szCs w:val="24"/>
        </w:rPr>
      </w:pPr>
    </w:p>
    <w:p w14:paraId="3AB4BDE0" w14:textId="77777777" w:rsidR="00B57E33" w:rsidRDefault="00B57E33">
      <w:pPr>
        <w:spacing w:line="200" w:lineRule="exact"/>
        <w:rPr>
          <w:sz w:val="24"/>
          <w:szCs w:val="24"/>
        </w:rPr>
      </w:pPr>
    </w:p>
    <w:p w14:paraId="42E515F0" w14:textId="77777777" w:rsidR="00B57E33" w:rsidRDefault="00B57E33">
      <w:pPr>
        <w:spacing w:line="363" w:lineRule="exact"/>
        <w:rPr>
          <w:sz w:val="24"/>
          <w:szCs w:val="24"/>
        </w:rPr>
      </w:pPr>
    </w:p>
    <w:p w14:paraId="698770AD" w14:textId="77777777" w:rsidR="00B57E33" w:rsidRDefault="008F147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Ostatní právní předpisy:</w:t>
      </w:r>
    </w:p>
    <w:p w14:paraId="0BFA8A8C" w14:textId="77777777" w:rsidR="00B57E33" w:rsidRDefault="00B57E33">
      <w:pPr>
        <w:spacing w:line="287" w:lineRule="exact"/>
        <w:rPr>
          <w:sz w:val="24"/>
          <w:szCs w:val="24"/>
        </w:rPr>
      </w:pPr>
    </w:p>
    <w:p w14:paraId="25A1CD57" w14:textId="77777777" w:rsidR="00B57E33" w:rsidRDefault="008F1473">
      <w:pPr>
        <w:numPr>
          <w:ilvl w:val="0"/>
          <w:numId w:val="4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293/1993 Sb., o výkonu vazby.</w:t>
      </w:r>
    </w:p>
    <w:p w14:paraId="4B4F4A16" w14:textId="77777777" w:rsidR="00B57E33" w:rsidRDefault="008F1473">
      <w:pPr>
        <w:numPr>
          <w:ilvl w:val="0"/>
          <w:numId w:val="4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6/2002 Sb., o soudech a soudcích.</w:t>
      </w:r>
    </w:p>
    <w:p w14:paraId="3BDA12C5" w14:textId="77777777" w:rsidR="00B57E33" w:rsidRDefault="008F1473">
      <w:pPr>
        <w:numPr>
          <w:ilvl w:val="0"/>
          <w:numId w:val="4"/>
        </w:numPr>
        <w:tabs>
          <w:tab w:val="left" w:pos="720"/>
        </w:tabs>
        <w:ind w:left="7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 č. 283/1993 Sb., o státním zastupitelství.</w:t>
      </w:r>
    </w:p>
    <w:sectPr w:rsidR="00B57E33">
      <w:pgSz w:w="11900" w:h="16838"/>
      <w:pgMar w:top="1407" w:right="1440" w:bottom="1440" w:left="1420" w:header="0" w:footer="0" w:gutter="0"/>
      <w:cols w:space="708" w:equalWidth="0">
        <w:col w:w="9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6880628C"/>
    <w:lvl w:ilvl="0" w:tplc="FA1EE178">
      <w:start w:val="1"/>
      <w:numFmt w:val="decimal"/>
      <w:lvlText w:val="%1."/>
      <w:lvlJc w:val="left"/>
    </w:lvl>
    <w:lvl w:ilvl="1" w:tplc="4C48DDFC">
      <w:numFmt w:val="decimal"/>
      <w:lvlText w:val=""/>
      <w:lvlJc w:val="left"/>
    </w:lvl>
    <w:lvl w:ilvl="2" w:tplc="8A80E27E">
      <w:numFmt w:val="decimal"/>
      <w:lvlText w:val=""/>
      <w:lvlJc w:val="left"/>
    </w:lvl>
    <w:lvl w:ilvl="3" w:tplc="8D58E3FA">
      <w:numFmt w:val="decimal"/>
      <w:lvlText w:val=""/>
      <w:lvlJc w:val="left"/>
    </w:lvl>
    <w:lvl w:ilvl="4" w:tplc="82AC92D8">
      <w:numFmt w:val="decimal"/>
      <w:lvlText w:val=""/>
      <w:lvlJc w:val="left"/>
    </w:lvl>
    <w:lvl w:ilvl="5" w:tplc="01AC87FA">
      <w:numFmt w:val="decimal"/>
      <w:lvlText w:val=""/>
      <w:lvlJc w:val="left"/>
    </w:lvl>
    <w:lvl w:ilvl="6" w:tplc="26ACEA22">
      <w:numFmt w:val="decimal"/>
      <w:lvlText w:val=""/>
      <w:lvlJc w:val="left"/>
    </w:lvl>
    <w:lvl w:ilvl="7" w:tplc="A5DC6B8A">
      <w:numFmt w:val="decimal"/>
      <w:lvlText w:val=""/>
      <w:lvlJc w:val="left"/>
    </w:lvl>
    <w:lvl w:ilvl="8" w:tplc="27D0AF58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6BAE55AE"/>
    <w:lvl w:ilvl="0" w:tplc="7FECF6AC">
      <w:start w:val="1"/>
      <w:numFmt w:val="decimal"/>
      <w:lvlText w:val="%1."/>
      <w:lvlJc w:val="left"/>
    </w:lvl>
    <w:lvl w:ilvl="1" w:tplc="C1C646AC">
      <w:numFmt w:val="decimal"/>
      <w:lvlText w:val=""/>
      <w:lvlJc w:val="left"/>
    </w:lvl>
    <w:lvl w:ilvl="2" w:tplc="8B942F16">
      <w:numFmt w:val="decimal"/>
      <w:lvlText w:val=""/>
      <w:lvlJc w:val="left"/>
    </w:lvl>
    <w:lvl w:ilvl="3" w:tplc="ECEEEF26">
      <w:numFmt w:val="decimal"/>
      <w:lvlText w:val=""/>
      <w:lvlJc w:val="left"/>
    </w:lvl>
    <w:lvl w:ilvl="4" w:tplc="1BECAA80">
      <w:numFmt w:val="decimal"/>
      <w:lvlText w:val=""/>
      <w:lvlJc w:val="left"/>
    </w:lvl>
    <w:lvl w:ilvl="5" w:tplc="7A4E9290">
      <w:numFmt w:val="decimal"/>
      <w:lvlText w:val=""/>
      <w:lvlJc w:val="left"/>
    </w:lvl>
    <w:lvl w:ilvl="6" w:tplc="1932018C">
      <w:numFmt w:val="decimal"/>
      <w:lvlText w:val=""/>
      <w:lvlJc w:val="left"/>
    </w:lvl>
    <w:lvl w:ilvl="7" w:tplc="927C1D52">
      <w:numFmt w:val="decimal"/>
      <w:lvlText w:val=""/>
      <w:lvlJc w:val="left"/>
    </w:lvl>
    <w:lvl w:ilvl="8" w:tplc="436CFD3E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EF8C6FD4"/>
    <w:lvl w:ilvl="0" w:tplc="81E46E58">
      <w:start w:val="1"/>
      <w:numFmt w:val="decimal"/>
      <w:lvlText w:val="%1."/>
      <w:lvlJc w:val="left"/>
    </w:lvl>
    <w:lvl w:ilvl="1" w:tplc="9D7C35D4">
      <w:numFmt w:val="decimal"/>
      <w:lvlText w:val=""/>
      <w:lvlJc w:val="left"/>
    </w:lvl>
    <w:lvl w:ilvl="2" w:tplc="81AC173E">
      <w:numFmt w:val="decimal"/>
      <w:lvlText w:val=""/>
      <w:lvlJc w:val="left"/>
    </w:lvl>
    <w:lvl w:ilvl="3" w:tplc="10864096">
      <w:numFmt w:val="decimal"/>
      <w:lvlText w:val=""/>
      <w:lvlJc w:val="left"/>
    </w:lvl>
    <w:lvl w:ilvl="4" w:tplc="2DD22F38">
      <w:numFmt w:val="decimal"/>
      <w:lvlText w:val=""/>
      <w:lvlJc w:val="left"/>
    </w:lvl>
    <w:lvl w:ilvl="5" w:tplc="DAD25A98">
      <w:numFmt w:val="decimal"/>
      <w:lvlText w:val=""/>
      <w:lvlJc w:val="left"/>
    </w:lvl>
    <w:lvl w:ilvl="6" w:tplc="D834EFD8">
      <w:numFmt w:val="decimal"/>
      <w:lvlText w:val=""/>
      <w:lvlJc w:val="left"/>
    </w:lvl>
    <w:lvl w:ilvl="7" w:tplc="F216E36E">
      <w:numFmt w:val="decimal"/>
      <w:lvlText w:val=""/>
      <w:lvlJc w:val="left"/>
    </w:lvl>
    <w:lvl w:ilvl="8" w:tplc="9E8E4E72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69E021A0"/>
    <w:lvl w:ilvl="0" w:tplc="7E98F9E2">
      <w:start w:val="1"/>
      <w:numFmt w:val="decimal"/>
      <w:lvlText w:val="%1."/>
      <w:lvlJc w:val="left"/>
    </w:lvl>
    <w:lvl w:ilvl="1" w:tplc="E0FA52E2">
      <w:numFmt w:val="decimal"/>
      <w:lvlText w:val=""/>
      <w:lvlJc w:val="left"/>
    </w:lvl>
    <w:lvl w:ilvl="2" w:tplc="3CB66AAA">
      <w:numFmt w:val="decimal"/>
      <w:lvlText w:val=""/>
      <w:lvlJc w:val="left"/>
    </w:lvl>
    <w:lvl w:ilvl="3" w:tplc="8FA65368">
      <w:numFmt w:val="decimal"/>
      <w:lvlText w:val=""/>
      <w:lvlJc w:val="left"/>
    </w:lvl>
    <w:lvl w:ilvl="4" w:tplc="35F68296">
      <w:numFmt w:val="decimal"/>
      <w:lvlText w:val=""/>
      <w:lvlJc w:val="left"/>
    </w:lvl>
    <w:lvl w:ilvl="5" w:tplc="584482E2">
      <w:numFmt w:val="decimal"/>
      <w:lvlText w:val=""/>
      <w:lvlJc w:val="left"/>
    </w:lvl>
    <w:lvl w:ilvl="6" w:tplc="B0508D5E">
      <w:numFmt w:val="decimal"/>
      <w:lvlText w:val=""/>
      <w:lvlJc w:val="left"/>
    </w:lvl>
    <w:lvl w:ilvl="7" w:tplc="CC2C4712">
      <w:numFmt w:val="decimal"/>
      <w:lvlText w:val=""/>
      <w:lvlJc w:val="left"/>
    </w:lvl>
    <w:lvl w:ilvl="8" w:tplc="D50E0B7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33"/>
    <w:rsid w:val="000D29F9"/>
    <w:rsid w:val="003A2071"/>
    <w:rsid w:val="00442C14"/>
    <w:rsid w:val="0050785C"/>
    <w:rsid w:val="008F1473"/>
    <w:rsid w:val="00B57E33"/>
    <w:rsid w:val="00F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5826"/>
  <w15:docId w15:val="{DE372F9C-C581-4D9B-BAFB-7A2A8F6F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Rihova</cp:lastModifiedBy>
  <cp:revision>2</cp:revision>
  <cp:lastPrinted>2022-04-04T14:00:00Z</cp:lastPrinted>
  <dcterms:created xsi:type="dcterms:W3CDTF">2022-04-04T14:02:00Z</dcterms:created>
  <dcterms:modified xsi:type="dcterms:W3CDTF">2022-04-04T14:02:00Z</dcterms:modified>
</cp:coreProperties>
</file>